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_GB2312" w:hAnsi="仿宋_GB2312" w:eastAsia="仿宋_GB2312" w:cs="仿宋_GB2312"/>
          <w:b/>
          <w:bCs/>
          <w:caps w:val="0"/>
          <w:color w:val="000000"/>
          <w:spacing w:val="0"/>
          <w:sz w:val="44"/>
          <w:szCs w:val="44"/>
          <w:bdr w:val="none" w:color="auto" w:sz="0" w:space="0"/>
          <w:shd w:val="clear" w:fill="FFFFFF"/>
        </w:rPr>
      </w:pPr>
      <w:bookmarkStart w:id="0" w:name="_GoBack"/>
      <w:r>
        <w:rPr>
          <w:rFonts w:hint="eastAsia" w:ascii="仿宋_GB2312" w:hAnsi="仿宋_GB2312" w:eastAsia="仿宋_GB2312" w:cs="仿宋_GB2312"/>
          <w:b/>
          <w:bCs/>
          <w:caps w:val="0"/>
          <w:color w:val="000000"/>
          <w:spacing w:val="0"/>
          <w:sz w:val="44"/>
          <w:szCs w:val="44"/>
          <w:bdr w:val="none" w:color="auto" w:sz="0" w:space="0"/>
          <w:shd w:val="clear" w:fill="FFFFFF"/>
        </w:rPr>
        <w:t>欧亚专利组织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_GB2312" w:hAnsi="仿宋_GB2312" w:eastAsia="仿宋_GB2312" w:cs="仿宋_GB2312"/>
          <w:b/>
          <w:bCs/>
          <w:caps w:val="0"/>
          <w:color w:val="000000"/>
          <w:spacing w:val="0"/>
          <w:sz w:val="44"/>
          <w:szCs w:val="44"/>
        </w:rPr>
      </w:pPr>
      <w:r>
        <w:rPr>
          <w:rFonts w:hint="eastAsia" w:ascii="仿宋_GB2312" w:hAnsi="仿宋_GB2312" w:eastAsia="仿宋_GB2312" w:cs="仿宋_GB2312"/>
          <w:b/>
          <w:bCs/>
          <w:caps w:val="0"/>
          <w:color w:val="000000"/>
          <w:spacing w:val="0"/>
          <w:sz w:val="44"/>
          <w:szCs w:val="44"/>
          <w:bdr w:val="none" w:color="auto" w:sz="0" w:space="0"/>
          <w:shd w:val="clear" w:fill="FFFFFF"/>
        </w:rPr>
        <w:t>将修改部分工业品外观设计费用</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自2024年1月1日起，欧亚专利组织将对与欧亚外观设计申请和与欧亚外观设计专利有关的具有法律意义的行为和其他行为的某些费用金额作出调整。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欧亚专利组织调整后的费用如下：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欧亚专利申请的申请费和审查费：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提交欧亚专利申请应支付以下费用：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根据《欧亚专利公约工业品外观设计保护议定书》（“《议定书》”）第13条第3款和《欧亚专利公约专利实施细则》（“《专利实施细则》”）第108条第1款规定的统一程序费用：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如果欧亚专利申请是针对单一工业品外观设计提交的，则金额为3万卢布；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如果欧亚专利申请涉及多项工业品外观设计，则第1件金额为3万卢布，从第2件到第10件后续工业品外观设计每件需增加1.5万卢布，超过10件的后续工业品外观设计每件金额为7500卢布。</w:t>
      </w:r>
    </w:p>
    <w:p>
      <w:pPr>
        <w:rPr>
          <w:rStyle w:val="6"/>
          <w:rFonts w:hint="eastAsia" w:ascii="仿宋_GB2312" w:hAnsi="仿宋_GB2312" w:eastAsia="仿宋_GB2312" w:cs="仿宋_GB2312"/>
          <w:i w:val="0"/>
          <w:iCs w:val="0"/>
          <w:caps w:val="0"/>
          <w:color w:val="000000"/>
          <w:spacing w:val="0"/>
          <w:sz w:val="28"/>
          <w:szCs w:val="28"/>
          <w:bdr w:val="none" w:color="auto" w:sz="0" w:space="0"/>
          <w:shd w:val="clear" w:fill="FFFFFF"/>
        </w:rPr>
      </w:pPr>
      <w:r>
        <w:rPr>
          <w:rStyle w:val="6"/>
          <w:rFonts w:hint="eastAsia" w:ascii="仿宋_GB2312" w:hAnsi="仿宋_GB2312" w:eastAsia="仿宋_GB2312" w:cs="仿宋_GB2312"/>
          <w:i w:val="0"/>
          <w:iCs w:val="0"/>
          <w:caps w:val="0"/>
          <w:color w:val="000000"/>
          <w:spacing w:val="0"/>
          <w:sz w:val="28"/>
          <w:szCs w:val="28"/>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_GB2312" w:hAnsi="仿宋_GB2312" w:eastAsia="仿宋_GB2312" w:cs="仿宋_GB2312"/>
          <w:b/>
          <w:bCs/>
          <w:caps w:val="0"/>
          <w:color w:val="000000"/>
          <w:spacing w:val="0"/>
          <w:sz w:val="44"/>
          <w:szCs w:val="44"/>
          <w:shd w:val="clear" w:fill="FFFFFF"/>
        </w:rPr>
      </w:pPr>
      <w:r>
        <w:rPr>
          <w:rStyle w:val="6"/>
          <w:rFonts w:hint="eastAsia" w:ascii="仿宋_GB2312" w:hAnsi="仿宋_GB2312" w:eastAsia="仿宋_GB2312" w:cs="仿宋_GB2312"/>
          <w:b/>
          <w:i w:val="0"/>
          <w:iCs w:val="0"/>
          <w:caps w:val="0"/>
          <w:color w:val="000000"/>
          <w:spacing w:val="0"/>
          <w:sz w:val="44"/>
          <w:szCs w:val="44"/>
          <w:bdr w:val="none" w:color="auto" w:sz="0" w:space="0"/>
          <w:shd w:val="clear" w:fill="FFFFFF"/>
        </w:rPr>
        <w:t>工业品</w:t>
      </w:r>
      <w:r>
        <w:rPr>
          <w:rFonts w:hint="eastAsia" w:ascii="仿宋_GB2312" w:hAnsi="仿宋_GB2312" w:eastAsia="仿宋_GB2312" w:cs="仿宋_GB2312"/>
          <w:b/>
          <w:bCs/>
          <w:caps w:val="0"/>
          <w:color w:val="000000"/>
          <w:spacing w:val="0"/>
          <w:sz w:val="44"/>
          <w:szCs w:val="44"/>
          <w:shd w:val="clear" w:fill="FFFFFF"/>
        </w:rPr>
        <w:t>外观</w:t>
      </w:r>
      <w:r>
        <w:rPr>
          <w:rStyle w:val="6"/>
          <w:rFonts w:hint="eastAsia" w:ascii="仿宋_GB2312" w:hAnsi="仿宋_GB2312" w:eastAsia="仿宋_GB2312" w:cs="仿宋_GB2312"/>
          <w:b/>
          <w:i w:val="0"/>
          <w:iCs w:val="0"/>
          <w:caps w:val="0"/>
          <w:color w:val="000000"/>
          <w:spacing w:val="0"/>
          <w:sz w:val="44"/>
          <w:szCs w:val="44"/>
          <w:bdr w:val="none" w:color="auto" w:sz="0" w:space="0"/>
          <w:shd w:val="clear" w:fill="FFFFFF"/>
        </w:rPr>
        <w:t>设计注册、欧亚专利授权</w:t>
      </w:r>
      <w:r>
        <w:rPr>
          <w:rFonts w:hint="eastAsia" w:ascii="仿宋_GB2312" w:hAnsi="仿宋_GB2312" w:eastAsia="仿宋_GB2312" w:cs="仿宋_GB2312"/>
          <w:b/>
          <w:bCs/>
          <w:caps w:val="0"/>
          <w:color w:val="000000"/>
          <w:spacing w:val="0"/>
          <w:sz w:val="44"/>
          <w:szCs w:val="44"/>
          <w:shd w:val="clear" w:fill="FFFFFF"/>
        </w:rPr>
        <w:t>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仿宋_GB2312" w:hAnsi="仿宋_GB2312" w:eastAsia="仿宋_GB2312" w:cs="仿宋_GB2312"/>
          <w:i w:val="0"/>
          <w:iCs w:val="0"/>
          <w:caps w:val="0"/>
          <w:color w:val="000000"/>
          <w:spacing w:val="0"/>
          <w:sz w:val="28"/>
          <w:szCs w:val="28"/>
          <w:bdr w:val="none" w:color="auto" w:sz="0" w:space="0"/>
          <w:shd w:val="clear" w:fill="FFFFFF"/>
        </w:rPr>
      </w:pPr>
      <w:r>
        <w:rPr>
          <w:rStyle w:val="6"/>
          <w:rFonts w:hint="eastAsia" w:ascii="仿宋_GB2312" w:hAnsi="仿宋_GB2312" w:eastAsia="仿宋_GB2312" w:cs="仿宋_GB2312"/>
          <w:b/>
          <w:i w:val="0"/>
          <w:iCs w:val="0"/>
          <w:caps w:val="0"/>
          <w:color w:val="000000"/>
          <w:spacing w:val="0"/>
          <w:sz w:val="44"/>
          <w:szCs w:val="44"/>
          <w:bdr w:val="none" w:color="auto" w:sz="0" w:space="0"/>
          <w:shd w:val="clear" w:fill="FFFFFF"/>
        </w:rPr>
        <w:t>及欧亚专利授权的公布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根据《议定书》第15条第5款和《专利实施细则》第114条第1款，工业品外观设计注册、欧亚专利授权公告和欧亚专利授权应支付以下费用：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如果欧亚专利授予的是单件工业品外观设计，则金额为3万卢布；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如果欧亚专利授予多件工业品外观设计，则第1件金额为3万卢布，从第2件到第10件工业品外观设计每件增加1.5万卢布，超过第10件的后续工业品外观设计每件金额为7500卢布。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bdr w:val="none" w:color="auto" w:sz="0" w:space="0"/>
          <w:shd w:val="clear" w:fill="FFFFFF"/>
        </w:rPr>
        <w:t>其他费用将保持不变。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shd w:val="clear" w:fill="FFFFFF"/>
        </w:rPr>
        <w:t>值得</w:t>
      </w:r>
      <w:r>
        <w:rPr>
          <w:rFonts w:hint="eastAsia" w:ascii="仿宋_GB2312" w:hAnsi="仿宋_GB2312" w:eastAsia="仿宋_GB2312" w:cs="仿宋_GB2312"/>
          <w:i w:val="0"/>
          <w:iCs w:val="0"/>
          <w:caps w:val="0"/>
          <w:color w:val="000000"/>
          <w:spacing w:val="0"/>
          <w:sz w:val="28"/>
          <w:szCs w:val="28"/>
          <w:bdr w:val="none" w:color="auto" w:sz="0" w:space="0"/>
          <w:shd w:val="clear" w:fill="FFFFFF"/>
        </w:rPr>
        <w:t>注意的是，用户可以用卢布、美元、欧元、人民币和德拉姆向欧亚专利局支付费用。（编译自www.eapo.org）</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A3ZWVmNWY5Yjk0YjBjNzMyMzg3MDZjYTliMWMifQ=="/>
  </w:docVars>
  <w:rsids>
    <w:rsidRoot w:val="6FAC6E26"/>
    <w:rsid w:val="54495057"/>
    <w:rsid w:val="6FAC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2024-05-24T05:11:00Z</dcterms:created>
  <dc:creator>姚乔乔</dc:creator>
  <cp:lastModifiedBy>姚乔乔</cp:lastModifiedBy>
  <dcterms:modified xsi:type="dcterms:W3CDTF">2024-05-24T05:25:57Z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62A169C0F23340BDA2420BB62A85A549_11</vt:lpwstr>
  </property>
</Properties>
</file>